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C9261" w14:textId="77777777" w:rsidR="00DB66D6" w:rsidRDefault="00DB66D6" w:rsidP="00952C80">
      <w:pPr>
        <w:pStyle w:val="BodyText"/>
        <w:rPr>
          <w:rFonts w:eastAsia="Yu Mincho"/>
        </w:rPr>
      </w:pPr>
    </w:p>
    <w:p w14:paraId="690A0F96" w14:textId="77777777" w:rsidR="00DB66D6" w:rsidRDefault="00DB66D6" w:rsidP="00952C80">
      <w:pPr>
        <w:pStyle w:val="BodyText"/>
        <w:rPr>
          <w:rFonts w:eastAsia="Yu Mincho"/>
        </w:rPr>
      </w:pPr>
    </w:p>
    <w:p w14:paraId="4DC15558" w14:textId="08D83230" w:rsidR="00952C80" w:rsidRDefault="00952C80" w:rsidP="00952C80">
      <w:pPr>
        <w:pStyle w:val="BodyText"/>
      </w:pPr>
      <w:r>
        <w:t>(English Translation)</w:t>
      </w:r>
    </w:p>
    <w:p w14:paraId="68A56016" w14:textId="6B427084" w:rsidR="00952C80" w:rsidRDefault="00952C80" w:rsidP="00952C80">
      <w:pPr>
        <w:pStyle w:val="BodyText"/>
        <w:rPr>
          <w:rFonts w:eastAsia="Yu Mincho"/>
        </w:rPr>
      </w:pPr>
    </w:p>
    <w:p w14:paraId="6EE3680B" w14:textId="251B6403" w:rsidR="00952C80" w:rsidRDefault="00952C80" w:rsidP="00952C80">
      <w:pPr>
        <w:pStyle w:val="BodyText"/>
        <w:rPr>
          <w:rFonts w:eastAsia="Yu Mincho"/>
        </w:rPr>
      </w:pPr>
    </w:p>
    <w:p w14:paraId="26D87DDD" w14:textId="5A6158A8" w:rsidR="00952C80" w:rsidRDefault="00952C80" w:rsidP="00952C80">
      <w:pPr>
        <w:pStyle w:val="BodyText"/>
        <w:rPr>
          <w:rFonts w:eastAsia="Yu Mincho"/>
        </w:rPr>
      </w:pPr>
    </w:p>
    <w:p w14:paraId="639308E9" w14:textId="1AC9B15B" w:rsidR="00952C80" w:rsidRDefault="00952C80" w:rsidP="00952C80">
      <w:pPr>
        <w:pStyle w:val="BodyText"/>
        <w:rPr>
          <w:rFonts w:eastAsia="Yu Mincho"/>
        </w:rPr>
      </w:pPr>
    </w:p>
    <w:p w14:paraId="46A5BA50" w14:textId="4204E304" w:rsidR="00952C80" w:rsidRDefault="00952C80" w:rsidP="00952C80">
      <w:pPr>
        <w:pStyle w:val="BodyText"/>
        <w:rPr>
          <w:rFonts w:eastAsia="Yu Mincho"/>
        </w:rPr>
      </w:pPr>
    </w:p>
    <w:p w14:paraId="5085F9CD" w14:textId="77777777" w:rsidR="00DB66D6" w:rsidRDefault="00DB66D6" w:rsidP="00952C80">
      <w:pPr>
        <w:pStyle w:val="BodyText"/>
        <w:rPr>
          <w:rFonts w:eastAsia="Yu Mincho"/>
        </w:rPr>
      </w:pPr>
    </w:p>
    <w:p w14:paraId="3B72D734" w14:textId="3FB6B2EB" w:rsidR="00952C80" w:rsidRDefault="00952C80" w:rsidP="00952C80">
      <w:pPr>
        <w:pStyle w:val="BodyText"/>
        <w:rPr>
          <w:rFonts w:eastAsia="Yu Mincho"/>
        </w:rPr>
      </w:pPr>
    </w:p>
    <w:p w14:paraId="5EFAB0B8" w14:textId="525A6A65" w:rsidR="00952C80" w:rsidRDefault="00952C80" w:rsidP="00952C80">
      <w:pPr>
        <w:pStyle w:val="BodyText"/>
        <w:rPr>
          <w:rFonts w:eastAsia="Yu Mincho"/>
        </w:rPr>
      </w:pPr>
    </w:p>
    <w:p w14:paraId="71B07F94" w14:textId="34F1E2B8" w:rsidR="00952C80" w:rsidRPr="007D0FE7" w:rsidRDefault="007D0FE7" w:rsidP="007D0FE7">
      <w:pPr>
        <w:pStyle w:val="BodyText"/>
        <w:jc w:val="center"/>
        <w:rPr>
          <w:rFonts w:eastAsia="Yu Mincho"/>
          <w:b/>
          <w:bCs/>
          <w:sz w:val="32"/>
          <w:szCs w:val="32"/>
          <w:lang w:val="en-US"/>
        </w:rPr>
      </w:pPr>
      <w:r w:rsidRPr="007D0FE7">
        <w:rPr>
          <w:rFonts w:eastAsia="Yu Mincho"/>
          <w:b/>
          <w:bCs/>
          <w:sz w:val="32"/>
          <w:szCs w:val="32"/>
          <w:lang w:val="en-US"/>
        </w:rPr>
        <w:t>ARTICLES OF INCORPORATION</w:t>
      </w:r>
    </w:p>
    <w:p w14:paraId="7E0F2E2E"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634E7558"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025388F8"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58C13296"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54AB186E"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03B5B52E"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77477E80"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2C3681C3" w14:textId="3ECD1626" w:rsidR="009B2041" w:rsidRDefault="009B2041" w:rsidP="005C48D9">
      <w:pPr>
        <w:spacing w:before="240" w:after="0" w:line="240" w:lineRule="auto"/>
        <w:jc w:val="center"/>
        <w:rPr>
          <w:rFonts w:ascii="Times New Roman" w:eastAsia="Times New Roman" w:hAnsi="Times New Roman" w:cs="Times New Roman"/>
          <w:sz w:val="20"/>
          <w:szCs w:val="20"/>
        </w:rPr>
      </w:pPr>
    </w:p>
    <w:p w14:paraId="5CD78020" w14:textId="525B4109" w:rsidR="00DB66D6" w:rsidRDefault="00DB66D6" w:rsidP="005C48D9">
      <w:pPr>
        <w:spacing w:before="240" w:after="0" w:line="240" w:lineRule="auto"/>
        <w:jc w:val="center"/>
        <w:rPr>
          <w:rFonts w:ascii="Times New Roman" w:eastAsia="Times New Roman" w:hAnsi="Times New Roman" w:cs="Times New Roman"/>
          <w:sz w:val="20"/>
          <w:szCs w:val="20"/>
        </w:rPr>
      </w:pPr>
    </w:p>
    <w:p w14:paraId="11DAE850" w14:textId="160F0A13" w:rsidR="00DB66D6" w:rsidRDefault="00DB66D6" w:rsidP="005C48D9">
      <w:pPr>
        <w:spacing w:before="240" w:after="0" w:line="240" w:lineRule="auto"/>
        <w:jc w:val="center"/>
        <w:rPr>
          <w:rFonts w:ascii="Times New Roman" w:eastAsia="Times New Roman" w:hAnsi="Times New Roman" w:cs="Times New Roman"/>
          <w:sz w:val="20"/>
          <w:szCs w:val="20"/>
        </w:rPr>
      </w:pPr>
    </w:p>
    <w:p w14:paraId="5A02398B" w14:textId="22665DA5" w:rsidR="00DB66D6" w:rsidRDefault="00DB66D6" w:rsidP="005C48D9">
      <w:pPr>
        <w:spacing w:before="240" w:after="0" w:line="240" w:lineRule="auto"/>
        <w:jc w:val="center"/>
        <w:rPr>
          <w:rFonts w:ascii="Times New Roman" w:eastAsia="Times New Roman" w:hAnsi="Times New Roman" w:cs="Times New Roman"/>
          <w:sz w:val="20"/>
          <w:szCs w:val="20"/>
        </w:rPr>
      </w:pPr>
    </w:p>
    <w:p w14:paraId="4C2335BE" w14:textId="7DD199B4" w:rsidR="00DB66D6" w:rsidRDefault="00DB66D6" w:rsidP="005C48D9">
      <w:pPr>
        <w:spacing w:before="240" w:after="0" w:line="240" w:lineRule="auto"/>
        <w:jc w:val="center"/>
        <w:rPr>
          <w:rFonts w:ascii="Times New Roman" w:eastAsia="Times New Roman" w:hAnsi="Times New Roman" w:cs="Times New Roman"/>
          <w:sz w:val="20"/>
          <w:szCs w:val="20"/>
        </w:rPr>
      </w:pPr>
    </w:p>
    <w:p w14:paraId="690FEFCE" w14:textId="77777777" w:rsidR="009B2041" w:rsidRDefault="009B2041" w:rsidP="005C48D9">
      <w:pPr>
        <w:spacing w:before="240" w:after="0" w:line="240" w:lineRule="auto"/>
        <w:jc w:val="center"/>
        <w:rPr>
          <w:rFonts w:ascii="Times New Roman" w:eastAsia="Times New Roman" w:hAnsi="Times New Roman" w:cs="Times New Roman"/>
          <w:sz w:val="20"/>
          <w:szCs w:val="20"/>
        </w:rPr>
      </w:pPr>
    </w:p>
    <w:p w14:paraId="0E41E47D" w14:textId="4267FDE8" w:rsidR="009B2041" w:rsidRPr="005F1F63" w:rsidRDefault="009B2041" w:rsidP="009B2041">
      <w:pPr>
        <w:pStyle w:val="BodyText"/>
        <w:jc w:val="center"/>
        <w:rPr>
          <w:rFonts w:eastAsia="Yu Mincho"/>
          <w:b/>
          <w:bCs/>
          <w:sz w:val="28"/>
          <w:szCs w:val="28"/>
          <w:lang w:val="en-US"/>
        </w:rPr>
      </w:pPr>
      <w:r w:rsidRPr="005F1F63">
        <w:rPr>
          <w:rFonts w:eastAsia="Yu Mincho"/>
          <w:b/>
          <w:bCs/>
          <w:sz w:val="28"/>
          <w:szCs w:val="28"/>
          <w:lang w:val="en-US"/>
        </w:rPr>
        <w:t>TOYOTA MOTOR CORPORATION</w:t>
      </w:r>
    </w:p>
    <w:p w14:paraId="2A847297" w14:textId="362CE55F" w:rsidR="009B2041" w:rsidRDefault="009B2041" w:rsidP="005C48D9">
      <w:pPr>
        <w:spacing w:before="240" w:after="0" w:line="240" w:lineRule="auto"/>
        <w:jc w:val="center"/>
        <w:rPr>
          <w:rFonts w:ascii="Times New Roman" w:eastAsia="Times New Roman" w:hAnsi="Times New Roman" w:cs="Times New Roman"/>
          <w:sz w:val="20"/>
          <w:szCs w:val="20"/>
        </w:rPr>
      </w:pPr>
    </w:p>
    <w:p w14:paraId="7368312B" w14:textId="7F333FA5" w:rsidR="009B2041" w:rsidRDefault="009B2041" w:rsidP="005C48D9">
      <w:pPr>
        <w:spacing w:before="240" w:after="0" w:line="240" w:lineRule="auto"/>
        <w:jc w:val="center"/>
        <w:rPr>
          <w:rFonts w:ascii="Times New Roman" w:eastAsia="Times New Roman" w:hAnsi="Times New Roman" w:cs="Times New Roman"/>
          <w:sz w:val="20"/>
          <w:szCs w:val="20"/>
        </w:rPr>
      </w:pPr>
    </w:p>
    <w:p w14:paraId="6C1D950D" w14:textId="45EBF428" w:rsidR="009B2041" w:rsidRDefault="009B2041" w:rsidP="005C48D9">
      <w:pPr>
        <w:spacing w:before="240" w:after="0" w:line="240" w:lineRule="auto"/>
        <w:jc w:val="center"/>
        <w:rPr>
          <w:rFonts w:ascii="Times New Roman" w:eastAsia="Times New Roman" w:hAnsi="Times New Roman" w:cs="Times New Roman"/>
          <w:sz w:val="20"/>
          <w:szCs w:val="20"/>
        </w:rPr>
      </w:pPr>
    </w:p>
    <w:p w14:paraId="080273AF" w14:textId="611CA92F" w:rsidR="009B2041" w:rsidRDefault="009B2041" w:rsidP="005C48D9">
      <w:pPr>
        <w:spacing w:before="240" w:after="0" w:line="240" w:lineRule="auto"/>
        <w:jc w:val="center"/>
        <w:rPr>
          <w:rFonts w:ascii="Times New Roman" w:eastAsia="Times New Roman" w:hAnsi="Times New Roman" w:cs="Times New Roman"/>
          <w:sz w:val="20"/>
          <w:szCs w:val="20"/>
        </w:rPr>
      </w:pPr>
    </w:p>
    <w:p w14:paraId="23935B26" w14:textId="671C89EF" w:rsidR="009B2041" w:rsidRDefault="009B2041" w:rsidP="005C48D9">
      <w:pPr>
        <w:spacing w:before="240" w:after="0" w:line="240" w:lineRule="auto"/>
        <w:jc w:val="center"/>
        <w:rPr>
          <w:rFonts w:ascii="Times New Roman" w:eastAsia="Times New Roman" w:hAnsi="Times New Roman" w:cs="Times New Roman"/>
          <w:sz w:val="20"/>
          <w:szCs w:val="20"/>
        </w:rPr>
      </w:pPr>
    </w:p>
    <w:p w14:paraId="674A864D" w14:textId="2AF291E8" w:rsidR="005C48D9" w:rsidRPr="005C48D9" w:rsidRDefault="005C48D9" w:rsidP="005C48D9">
      <w:pPr>
        <w:spacing w:before="24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lastRenderedPageBreak/>
        <w:t>ARTICLES OF INCORPORATION OF TOYOTA MOTOR CORPORATION</w:t>
      </w:r>
    </w:p>
    <w:p w14:paraId="310F364E" w14:textId="77777777" w:rsidR="005C48D9" w:rsidRPr="005C48D9" w:rsidRDefault="005C48D9" w:rsidP="005C48D9">
      <w:pPr>
        <w:spacing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(As amended on June 15, 2022)</w:t>
      </w:r>
    </w:p>
    <w:p w14:paraId="2FA30B41" w14:textId="77777777" w:rsidR="005C48D9" w:rsidRPr="005C48D9" w:rsidRDefault="005C48D9" w:rsidP="005C48D9">
      <w:pPr>
        <w:spacing w:before="24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CHAPTER I. GENERAL PROVISIONS</w:t>
      </w:r>
    </w:p>
    <w:p w14:paraId="1CF389F1"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 (Trade Name)</w:t>
      </w:r>
    </w:p>
    <w:p w14:paraId="45FFA769"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name of the Corporation shall be “Toyota Jidosha Kabushiki Kaisha” to be expressed in English as “TOYOTA MOTOR CORPORATION”.</w:t>
      </w:r>
    </w:p>
    <w:p w14:paraId="7BC63E35"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 (Purpose)</w:t>
      </w:r>
    </w:p>
    <w:p w14:paraId="7F4D7A00"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purpose of the Corporation shall be to engage in the following businesses:</w:t>
      </w:r>
    </w:p>
    <w:p w14:paraId="5A4E50DA"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29D582B7" w14:textId="77777777" w:rsidTr="005C48D9">
        <w:tc>
          <w:tcPr>
            <w:tcW w:w="200" w:type="pct"/>
            <w:vAlign w:val="center"/>
            <w:hideMark/>
          </w:tcPr>
          <w:p w14:paraId="0980A8F8"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27DEE98B"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w:t>
            </w:r>
          </w:p>
        </w:tc>
        <w:tc>
          <w:tcPr>
            <w:tcW w:w="0" w:type="auto"/>
            <w:hideMark/>
          </w:tcPr>
          <w:p w14:paraId="2DB23CDC"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manufacture, sale, leasing and repair of motor vehicles, industrial vehicles, ships, aircraft, other transportation machinery and apparatus, spacecraft and space machinery and apparatus, and parts thereof;</w:t>
            </w:r>
          </w:p>
        </w:tc>
      </w:tr>
    </w:tbl>
    <w:p w14:paraId="7F046232"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1D4FDD4F" w14:textId="77777777" w:rsidTr="005C48D9">
        <w:tc>
          <w:tcPr>
            <w:tcW w:w="200" w:type="pct"/>
            <w:vAlign w:val="center"/>
            <w:hideMark/>
          </w:tcPr>
          <w:p w14:paraId="66380F73"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0FB58F37"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w:t>
            </w:r>
          </w:p>
        </w:tc>
        <w:tc>
          <w:tcPr>
            <w:tcW w:w="0" w:type="auto"/>
            <w:hideMark/>
          </w:tcPr>
          <w:p w14:paraId="4343DBB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manufacture, sale, leasing and repair of industrial machinery and apparatus and other general machinery and apparatus, and parts thereof;</w:t>
            </w:r>
          </w:p>
        </w:tc>
      </w:tr>
    </w:tbl>
    <w:p w14:paraId="1BE9E888"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13665558" w14:textId="77777777" w:rsidTr="005C48D9">
        <w:tc>
          <w:tcPr>
            <w:tcW w:w="200" w:type="pct"/>
            <w:vAlign w:val="center"/>
            <w:hideMark/>
          </w:tcPr>
          <w:p w14:paraId="778A7229"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154A770C"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(3)</w:t>
            </w:r>
          </w:p>
        </w:tc>
        <w:tc>
          <w:tcPr>
            <w:tcW w:w="0" w:type="auto"/>
            <w:hideMark/>
          </w:tcPr>
          <w:p w14:paraId="64C5CD6A"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manufacture, sale, leasing and repair of electrical machinery and apparatus, and parts thereof;</w:t>
            </w:r>
          </w:p>
        </w:tc>
      </w:tr>
    </w:tbl>
    <w:p w14:paraId="57E4D1C8"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00385BD7" w14:textId="77777777" w:rsidTr="005C48D9">
        <w:tc>
          <w:tcPr>
            <w:tcW w:w="200" w:type="pct"/>
            <w:vAlign w:val="center"/>
            <w:hideMark/>
          </w:tcPr>
          <w:p w14:paraId="0050C412"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357E94EC"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(4)</w:t>
            </w:r>
          </w:p>
        </w:tc>
        <w:tc>
          <w:tcPr>
            <w:tcW w:w="0" w:type="auto"/>
            <w:hideMark/>
          </w:tcPr>
          <w:p w14:paraId="5423E5EB"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manufacture, sale, leasing and repair of measuring machinery and apparatus, and medical machinery and apparatus, and parts thereof;</w:t>
            </w:r>
          </w:p>
        </w:tc>
      </w:tr>
    </w:tbl>
    <w:p w14:paraId="0D27F710"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7867D4D1" w14:textId="77777777" w:rsidTr="005C48D9">
        <w:tc>
          <w:tcPr>
            <w:tcW w:w="200" w:type="pct"/>
            <w:vAlign w:val="center"/>
            <w:hideMark/>
          </w:tcPr>
          <w:p w14:paraId="513DDDE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4D75EA6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(5)</w:t>
            </w:r>
          </w:p>
        </w:tc>
        <w:tc>
          <w:tcPr>
            <w:tcW w:w="0" w:type="auto"/>
            <w:hideMark/>
          </w:tcPr>
          <w:p w14:paraId="3FAD5A23"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manufacture and sale of ceramics and products of synthetic resins, and materials thereof;</w:t>
            </w:r>
          </w:p>
        </w:tc>
      </w:tr>
    </w:tbl>
    <w:p w14:paraId="425C498A"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0ABCE0DB" w14:textId="77777777" w:rsidTr="005C48D9">
        <w:tc>
          <w:tcPr>
            <w:tcW w:w="200" w:type="pct"/>
            <w:vAlign w:val="center"/>
            <w:hideMark/>
          </w:tcPr>
          <w:p w14:paraId="697E1776"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2556EC06"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(6)</w:t>
            </w:r>
          </w:p>
        </w:tc>
        <w:tc>
          <w:tcPr>
            <w:tcW w:w="0" w:type="auto"/>
            <w:hideMark/>
          </w:tcPr>
          <w:p w14:paraId="12A97A13"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manufacture, sale and repair of construction materials and equipment, furnishings and fixtures for residential buildings;</w:t>
            </w:r>
          </w:p>
        </w:tc>
      </w:tr>
    </w:tbl>
    <w:p w14:paraId="0B0ADCA5"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1DA1B0B8" w14:textId="77777777" w:rsidTr="005C48D9">
        <w:tc>
          <w:tcPr>
            <w:tcW w:w="200" w:type="pct"/>
            <w:vAlign w:val="center"/>
            <w:hideMark/>
          </w:tcPr>
          <w:p w14:paraId="3ABF6A6D"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5C62B22F"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(7)</w:t>
            </w:r>
          </w:p>
        </w:tc>
        <w:tc>
          <w:tcPr>
            <w:tcW w:w="0" w:type="auto"/>
            <w:hideMark/>
          </w:tcPr>
          <w:p w14:paraId="515AA61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planning, designing, supervision, execution and undertaking of construction works, civil engineering works, land development, urban development and regional development;</w:t>
            </w:r>
          </w:p>
        </w:tc>
      </w:tr>
    </w:tbl>
    <w:p w14:paraId="5F0554D0"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79670CD2" w14:textId="77777777" w:rsidTr="005C48D9">
        <w:tc>
          <w:tcPr>
            <w:tcW w:w="200" w:type="pct"/>
            <w:vAlign w:val="center"/>
            <w:hideMark/>
          </w:tcPr>
          <w:p w14:paraId="6A93A4D3"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3D2716C2"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(8)</w:t>
            </w:r>
          </w:p>
        </w:tc>
        <w:tc>
          <w:tcPr>
            <w:tcW w:w="0" w:type="auto"/>
            <w:hideMark/>
          </w:tcPr>
          <w:p w14:paraId="1FA0DDBB"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sale, purchase, leasing, brokerage and management of real estate;</w:t>
            </w:r>
          </w:p>
        </w:tc>
      </w:tr>
    </w:tbl>
    <w:p w14:paraId="0163D5D8"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08699C7F" w14:textId="77777777" w:rsidTr="005C48D9">
        <w:tc>
          <w:tcPr>
            <w:tcW w:w="200" w:type="pct"/>
            <w:vAlign w:val="center"/>
            <w:hideMark/>
          </w:tcPr>
          <w:p w14:paraId="6E0F753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620FBBB5"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(9)</w:t>
            </w:r>
          </w:p>
        </w:tc>
        <w:tc>
          <w:tcPr>
            <w:tcW w:w="0" w:type="auto"/>
            <w:hideMark/>
          </w:tcPr>
          <w:p w14:paraId="10A0EB25"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service of information processing, information communications and information supply, and the development, sale and leasing of software;</w:t>
            </w:r>
          </w:p>
        </w:tc>
      </w:tr>
    </w:tbl>
    <w:p w14:paraId="56A57480"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583EC457" w14:textId="77777777" w:rsidTr="005C48D9">
        <w:tc>
          <w:tcPr>
            <w:tcW w:w="200" w:type="pct"/>
            <w:vAlign w:val="center"/>
            <w:hideMark/>
          </w:tcPr>
          <w:p w14:paraId="24732D77"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71A3F556"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(10)</w:t>
            </w:r>
          </w:p>
        </w:tc>
        <w:tc>
          <w:tcPr>
            <w:tcW w:w="0" w:type="auto"/>
            <w:hideMark/>
          </w:tcPr>
          <w:p w14:paraId="3A07CC8B"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design and development of product sales systems that utilize networks such as the Internet; sale, leasing, maintenance of computers included within such systems, and sales of products by utilizing such systems;</w:t>
            </w:r>
          </w:p>
        </w:tc>
      </w:tr>
    </w:tbl>
    <w:p w14:paraId="7AFF2142"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56D9EFFF" w14:textId="77777777" w:rsidTr="005C48D9">
        <w:tc>
          <w:tcPr>
            <w:tcW w:w="200" w:type="pct"/>
            <w:vAlign w:val="center"/>
            <w:hideMark/>
          </w:tcPr>
          <w:p w14:paraId="28ABD125"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62834F22"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(11)</w:t>
            </w:r>
          </w:p>
        </w:tc>
        <w:tc>
          <w:tcPr>
            <w:tcW w:w="0" w:type="auto"/>
            <w:hideMark/>
          </w:tcPr>
          <w:p w14:paraId="627FAB42"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inland transportation, marine transportation, air transportation, stevedoring, warehousing and tourism businesses;</w:t>
            </w:r>
          </w:p>
        </w:tc>
      </w:tr>
    </w:tbl>
    <w:p w14:paraId="01D8EE7F"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53FD1EB5" w14:textId="77777777" w:rsidTr="005C48D9">
        <w:tc>
          <w:tcPr>
            <w:tcW w:w="200" w:type="pct"/>
            <w:vAlign w:val="center"/>
            <w:hideMark/>
          </w:tcPr>
          <w:p w14:paraId="7A421DFA"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55850797"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(12)</w:t>
            </w:r>
          </w:p>
        </w:tc>
        <w:tc>
          <w:tcPr>
            <w:tcW w:w="0" w:type="auto"/>
            <w:hideMark/>
          </w:tcPr>
          <w:p w14:paraId="6B8121DD"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printing, publishing, advertising and publicity, general leasing, security and workers dispatch businesses;</w:t>
            </w:r>
          </w:p>
        </w:tc>
      </w:tr>
    </w:tbl>
    <w:p w14:paraId="308FF6AC"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21431F72" w14:textId="77777777" w:rsidTr="005C48D9">
        <w:tc>
          <w:tcPr>
            <w:tcW w:w="200" w:type="pct"/>
            <w:vAlign w:val="center"/>
            <w:hideMark/>
          </w:tcPr>
          <w:p w14:paraId="1DF6F410"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lastRenderedPageBreak/>
              <w:t> </w:t>
            </w:r>
          </w:p>
        </w:tc>
        <w:tc>
          <w:tcPr>
            <w:tcW w:w="250" w:type="pct"/>
            <w:hideMark/>
          </w:tcPr>
          <w:p w14:paraId="25FDB98B"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(13)</w:t>
            </w:r>
          </w:p>
        </w:tc>
        <w:tc>
          <w:tcPr>
            <w:tcW w:w="0" w:type="auto"/>
            <w:hideMark/>
          </w:tcPr>
          <w:p w14:paraId="11C3D806"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credit card operations, purchase and sale of securities, investment consulting, investment trust operation, and other financial services;</w:t>
            </w:r>
          </w:p>
        </w:tc>
      </w:tr>
    </w:tbl>
    <w:p w14:paraId="271A13E9"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1B1AC453" w14:textId="77777777" w:rsidTr="005C48D9">
        <w:tc>
          <w:tcPr>
            <w:tcW w:w="200" w:type="pct"/>
            <w:vAlign w:val="center"/>
            <w:hideMark/>
          </w:tcPr>
          <w:p w14:paraId="2E7A8DAA"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2E99793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(14)</w:t>
            </w:r>
          </w:p>
        </w:tc>
        <w:tc>
          <w:tcPr>
            <w:tcW w:w="0" w:type="auto"/>
            <w:hideMark/>
          </w:tcPr>
          <w:p w14:paraId="50CB1CC0"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operation and management of such facilities as parking lots, showrooms, educational facilities, medical care facilities, sports facilities, marinas, airfields, food and drink stands and restaurants, lodging facilities, retail stores and others;</w:t>
            </w:r>
          </w:p>
        </w:tc>
      </w:tr>
    </w:tbl>
    <w:p w14:paraId="6CEA5E12"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6B92D9D1" w14:textId="77777777" w:rsidTr="005C48D9">
        <w:tc>
          <w:tcPr>
            <w:tcW w:w="200" w:type="pct"/>
            <w:vAlign w:val="center"/>
            <w:hideMark/>
          </w:tcPr>
          <w:p w14:paraId="7627C209"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6E4BC9E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(15)</w:t>
            </w:r>
          </w:p>
        </w:tc>
        <w:tc>
          <w:tcPr>
            <w:tcW w:w="0" w:type="auto"/>
            <w:hideMark/>
          </w:tcPr>
          <w:p w14:paraId="6C8CAB4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non-life insurance agency business and life insurance agency business;</w:t>
            </w:r>
          </w:p>
        </w:tc>
      </w:tr>
    </w:tbl>
    <w:p w14:paraId="7BBB14D8"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1DC2FBB3" w14:textId="77777777" w:rsidTr="005C48D9">
        <w:tc>
          <w:tcPr>
            <w:tcW w:w="200" w:type="pct"/>
            <w:vAlign w:val="center"/>
            <w:hideMark/>
          </w:tcPr>
          <w:p w14:paraId="531B8E4A"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632E9568"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(16)</w:t>
            </w:r>
          </w:p>
        </w:tc>
        <w:tc>
          <w:tcPr>
            <w:tcW w:w="0" w:type="auto"/>
            <w:hideMark/>
          </w:tcPr>
          <w:p w14:paraId="0D269F89"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production and processing by using biotechnology of agricultural products including trees, and the sale of such products;</w:t>
            </w:r>
          </w:p>
        </w:tc>
      </w:tr>
    </w:tbl>
    <w:p w14:paraId="5C3ECCF4" w14:textId="77777777" w:rsidR="005C48D9" w:rsidRPr="005C48D9" w:rsidRDefault="00597918" w:rsidP="005C48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6C9268C">
          <v:rect id="_x0000_i1025" style="width:468pt;height:2.25pt" o:hralign="center" o:hrstd="t" o:hrnoshade="t" o:hr="t" fillcolor="#999" stroked="f"/>
        </w:pic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4DDA7640" w14:textId="77777777" w:rsidTr="005C48D9">
        <w:tc>
          <w:tcPr>
            <w:tcW w:w="200" w:type="pct"/>
            <w:vAlign w:val="center"/>
            <w:hideMark/>
          </w:tcPr>
          <w:p w14:paraId="0B89E61F" w14:textId="77777777" w:rsid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p w14:paraId="7B465614" w14:textId="77777777" w:rsidR="005C48D9" w:rsidRDefault="005C48D9" w:rsidP="005C48D9">
            <w:pPr>
              <w:spacing w:after="0" w:line="240" w:lineRule="auto"/>
              <w:rPr>
                <w:rFonts w:ascii="Times New Roman" w:eastAsia="Times New Roman" w:hAnsi="Times New Roman" w:cs="Times New Roman"/>
                <w:sz w:val="20"/>
                <w:szCs w:val="20"/>
              </w:rPr>
            </w:pPr>
          </w:p>
          <w:p w14:paraId="70499F0E" w14:textId="444DE491" w:rsidR="005C48D9" w:rsidRPr="005C48D9" w:rsidRDefault="005C48D9" w:rsidP="005C48D9">
            <w:pPr>
              <w:spacing w:after="0" w:line="240" w:lineRule="auto"/>
              <w:rPr>
                <w:rFonts w:ascii="Times New Roman" w:eastAsia="Times New Roman" w:hAnsi="Times New Roman" w:cs="Times New Roman"/>
                <w:sz w:val="20"/>
                <w:szCs w:val="20"/>
              </w:rPr>
            </w:pPr>
          </w:p>
        </w:tc>
        <w:tc>
          <w:tcPr>
            <w:tcW w:w="250" w:type="pct"/>
            <w:hideMark/>
          </w:tcPr>
          <w:p w14:paraId="32184F6A" w14:textId="77777777" w:rsidR="005C48D9" w:rsidRDefault="005C48D9" w:rsidP="005C48D9">
            <w:pPr>
              <w:spacing w:after="0" w:line="240" w:lineRule="auto"/>
              <w:rPr>
                <w:rFonts w:ascii="Times New Roman" w:eastAsia="Times New Roman" w:hAnsi="Times New Roman" w:cs="Times New Roman"/>
                <w:sz w:val="20"/>
                <w:szCs w:val="20"/>
              </w:rPr>
            </w:pPr>
          </w:p>
          <w:p w14:paraId="6CCDC9B0" w14:textId="77777777" w:rsidR="005C48D9" w:rsidRDefault="005C48D9" w:rsidP="005C48D9">
            <w:pPr>
              <w:spacing w:after="0" w:line="240" w:lineRule="auto"/>
              <w:rPr>
                <w:rFonts w:ascii="Times New Roman" w:eastAsia="Times New Roman" w:hAnsi="Times New Roman" w:cs="Times New Roman"/>
                <w:sz w:val="20"/>
                <w:szCs w:val="20"/>
              </w:rPr>
            </w:pPr>
          </w:p>
          <w:p w14:paraId="5367C3F0" w14:textId="75E75126"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(17)</w:t>
            </w:r>
          </w:p>
        </w:tc>
        <w:tc>
          <w:tcPr>
            <w:tcW w:w="0" w:type="auto"/>
            <w:hideMark/>
          </w:tcPr>
          <w:p w14:paraId="00C4CD57" w14:textId="77777777" w:rsidR="005C48D9" w:rsidRDefault="005C48D9" w:rsidP="005C48D9">
            <w:pPr>
              <w:spacing w:after="0" w:line="240" w:lineRule="auto"/>
              <w:rPr>
                <w:rFonts w:ascii="Times New Roman" w:eastAsia="Times New Roman" w:hAnsi="Times New Roman" w:cs="Times New Roman"/>
                <w:sz w:val="20"/>
                <w:szCs w:val="20"/>
              </w:rPr>
            </w:pPr>
          </w:p>
          <w:p w14:paraId="1FDC83B7" w14:textId="77777777" w:rsidR="005C48D9" w:rsidRDefault="005C48D9" w:rsidP="005C48D9">
            <w:pPr>
              <w:spacing w:after="0" w:line="240" w:lineRule="auto"/>
              <w:rPr>
                <w:rFonts w:ascii="Times New Roman" w:eastAsia="Times New Roman" w:hAnsi="Times New Roman" w:cs="Times New Roman"/>
                <w:sz w:val="20"/>
                <w:szCs w:val="20"/>
              </w:rPr>
            </w:pPr>
          </w:p>
          <w:p w14:paraId="4ED49EBC" w14:textId="77F3D134"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power generation and the supply and sale of electric power</w:t>
            </w:r>
          </w:p>
        </w:tc>
      </w:tr>
    </w:tbl>
    <w:p w14:paraId="50F75AED"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68B30DC7" w14:textId="77777777" w:rsidTr="005C48D9">
        <w:tc>
          <w:tcPr>
            <w:tcW w:w="200" w:type="pct"/>
            <w:vAlign w:val="center"/>
            <w:hideMark/>
          </w:tcPr>
          <w:p w14:paraId="3C682298"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0203FBA9"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(18)</w:t>
            </w:r>
          </w:p>
        </w:tc>
        <w:tc>
          <w:tcPr>
            <w:tcW w:w="0" w:type="auto"/>
            <w:hideMark/>
          </w:tcPr>
          <w:p w14:paraId="6DDA3F15"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sale of goods related to each of the preceding items and mineral oil;</w:t>
            </w:r>
          </w:p>
        </w:tc>
      </w:tr>
    </w:tbl>
    <w:p w14:paraId="38247385"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789D144D" w14:textId="77777777" w:rsidTr="005C48D9">
        <w:tc>
          <w:tcPr>
            <w:tcW w:w="200" w:type="pct"/>
            <w:vAlign w:val="center"/>
            <w:hideMark/>
          </w:tcPr>
          <w:p w14:paraId="69708231"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1C3F7994"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(19)</w:t>
            </w:r>
          </w:p>
        </w:tc>
        <w:tc>
          <w:tcPr>
            <w:tcW w:w="0" w:type="auto"/>
            <w:hideMark/>
          </w:tcPr>
          <w:p w14:paraId="4A27EC32"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conducting of engineering, consulting, invention and research relating to each of the preceding items and the utilization of such invention and research; and</w:t>
            </w:r>
          </w:p>
        </w:tc>
      </w:tr>
    </w:tbl>
    <w:p w14:paraId="3D20BB85" w14:textId="77777777" w:rsidR="005C48D9" w:rsidRPr="005C48D9" w:rsidRDefault="005C48D9" w:rsidP="005C48D9">
      <w:pPr>
        <w:spacing w:after="0" w:line="240" w:lineRule="auto"/>
        <w:rPr>
          <w:rFonts w:ascii="Times New Roman" w:eastAsia="Times New Roman" w:hAnsi="Times New Roman" w:cs="Times New Roman"/>
          <w:sz w:val="12"/>
          <w:szCs w:val="12"/>
        </w:rPr>
      </w:pPr>
      <w:r w:rsidRPr="005C48D9">
        <w:rPr>
          <w:rFonts w:ascii="Times New Roman" w:eastAsia="Times New Roman" w:hAnsi="Times New Roman" w:cs="Times New Roman"/>
          <w:sz w:val="12"/>
          <w:szCs w:val="12"/>
        </w:rPr>
        <w:t> </w:t>
      </w:r>
    </w:p>
    <w:tbl>
      <w:tblPr>
        <w:tblW w:w="5000" w:type="pct"/>
        <w:tblCellMar>
          <w:left w:w="0" w:type="dxa"/>
          <w:right w:w="0" w:type="dxa"/>
        </w:tblCellMar>
        <w:tblLook w:val="04A0" w:firstRow="1" w:lastRow="0" w:firstColumn="1" w:lastColumn="0" w:noHBand="0" w:noVBand="1"/>
      </w:tblPr>
      <w:tblGrid>
        <w:gridCol w:w="374"/>
        <w:gridCol w:w="468"/>
        <w:gridCol w:w="8518"/>
      </w:tblGrid>
      <w:tr w:rsidR="005C48D9" w:rsidRPr="005C48D9" w14:paraId="6357E209" w14:textId="77777777" w:rsidTr="005C48D9">
        <w:tc>
          <w:tcPr>
            <w:tcW w:w="200" w:type="pct"/>
            <w:vAlign w:val="center"/>
            <w:hideMark/>
          </w:tcPr>
          <w:p w14:paraId="2BC6A660"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 </w:t>
            </w:r>
          </w:p>
        </w:tc>
        <w:tc>
          <w:tcPr>
            <w:tcW w:w="250" w:type="pct"/>
            <w:hideMark/>
          </w:tcPr>
          <w:p w14:paraId="7EE9682B"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(20)</w:t>
            </w:r>
          </w:p>
        </w:tc>
        <w:tc>
          <w:tcPr>
            <w:tcW w:w="0" w:type="auto"/>
            <w:hideMark/>
          </w:tcPr>
          <w:p w14:paraId="5B4E3BC5"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any businesses incidental to or related to any of the preceding items.</w:t>
            </w:r>
          </w:p>
        </w:tc>
      </w:tr>
    </w:tbl>
    <w:p w14:paraId="3D875B92"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3. (Location of Principal Office)</w:t>
      </w:r>
    </w:p>
    <w:p w14:paraId="0CD0C3E3"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principal office of the Corporation shall be located in Toyota City, Aichi Prefecture, Japan.</w:t>
      </w:r>
    </w:p>
    <w:p w14:paraId="3FF798C2"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4. (Public Notices)</w:t>
      </w:r>
    </w:p>
    <w:p w14:paraId="18AC1449"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Public notices of the Corporation shall be given electronically; provided, however, that in the case that an electronic public notice is impracticable due to an accident or any other unavoidable reason, public notices of the Corporation shall be given in the newspaper “The Nihon Keizai Shimbun”.</w:t>
      </w:r>
    </w:p>
    <w:p w14:paraId="1C92E4C7" w14:textId="77777777" w:rsidR="005C48D9" w:rsidRPr="005C48D9" w:rsidRDefault="005C48D9" w:rsidP="005C48D9">
      <w:pPr>
        <w:spacing w:before="48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CHAPTER II. SHARES</w:t>
      </w:r>
    </w:p>
    <w:p w14:paraId="4A5F58DF"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5. (Total Number of Authorized Shares)</w:t>
      </w:r>
    </w:p>
    <w:p w14:paraId="46E12DCA"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total number of shares which the Corporation is authorized to issue shall be fifty billion (50,000,000,000).</w:t>
      </w:r>
    </w:p>
    <w:p w14:paraId="47A682DD"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6. (Number of Shares Constituting One Unit (tangen) and Rights to Shares Constituting Less than One Unit (tangen))</w:t>
      </w:r>
    </w:p>
    <w:p w14:paraId="59F72203"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number of shares constituting one unit (tangen) of shares of the Corporation shall be one hundred (100).</w:t>
      </w:r>
    </w:p>
    <w:p w14:paraId="78E0C319"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The shareholders of the Corporation are not entitled to exercise any rights to shares constituting less than one unit (tangen) of shares held by the shareholders, other than the rights provided for in each Item of Article 189, Paragraph 2 of the Companies Act (Kaisha-hou).</w:t>
      </w:r>
    </w:p>
    <w:p w14:paraId="61A99981"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7. (Acquisition of Own Shares)</w:t>
      </w:r>
    </w:p>
    <w:p w14:paraId="4272DAC8"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Corporation may acquire its own shares by a resolution of the Board of Directors in accordance with the provisions of Article 165, Paragraph 2 of the Companies Act.</w:t>
      </w:r>
    </w:p>
    <w:p w14:paraId="4B3FFA3B"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lastRenderedPageBreak/>
        <w:t>Article 8. (Transfer Agent)</w:t>
      </w:r>
    </w:p>
    <w:p w14:paraId="706F7F86"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Corporation shall have a transfer agent (</w:t>
      </w:r>
      <w:r w:rsidRPr="005C48D9">
        <w:rPr>
          <w:rFonts w:ascii="Times New Roman" w:eastAsia="Times New Roman" w:hAnsi="Times New Roman" w:cs="Times New Roman"/>
          <w:i/>
          <w:iCs/>
          <w:sz w:val="20"/>
          <w:szCs w:val="20"/>
        </w:rPr>
        <w:t>Kabunushimeibo-Kanrinin</w:t>
      </w:r>
      <w:r w:rsidRPr="005C48D9">
        <w:rPr>
          <w:rFonts w:ascii="Times New Roman" w:eastAsia="Times New Roman" w:hAnsi="Times New Roman" w:cs="Times New Roman"/>
          <w:sz w:val="20"/>
          <w:szCs w:val="20"/>
        </w:rPr>
        <w:t>).</w:t>
      </w:r>
    </w:p>
    <w:p w14:paraId="007C2C92" w14:textId="09211F92" w:rsid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The transfer agent and the location of its office shall be designated by a resolution of the Board of Directors, and public notice thereof shall be given. The register of shareholders and the register of stock acquisition rights shall be kept at the office of the transfer agent. The entry or recording into the register of shareholders and the register of stock acquisition rights, the purchase of shares constituting less than one unit (tangen) and any other matters related to the shares and stock acquisition rights shall be handled by the transfer agent and not by the Corporation.</w:t>
      </w:r>
    </w:p>
    <w:p w14:paraId="56C4C767" w14:textId="5622B06E" w:rsidR="00597918" w:rsidRDefault="00597918" w:rsidP="005C48D9">
      <w:pPr>
        <w:spacing w:before="240" w:after="0" w:line="240" w:lineRule="auto"/>
        <w:ind w:firstLine="490"/>
        <w:rPr>
          <w:rFonts w:ascii="Times New Roman" w:eastAsia="Times New Roman" w:hAnsi="Times New Roman" w:cs="Times New Roman"/>
          <w:sz w:val="20"/>
          <w:szCs w:val="20"/>
        </w:rPr>
      </w:pPr>
    </w:p>
    <w:p w14:paraId="0BD74906" w14:textId="77777777" w:rsidR="00597918" w:rsidRPr="005C48D9" w:rsidRDefault="00597918" w:rsidP="005C48D9">
      <w:pPr>
        <w:spacing w:before="240" w:after="0" w:line="240" w:lineRule="auto"/>
        <w:ind w:firstLine="490"/>
        <w:rPr>
          <w:rFonts w:ascii="Times New Roman" w:eastAsia="Times New Roman" w:hAnsi="Times New Roman" w:cs="Times New Roman"/>
          <w:sz w:val="20"/>
          <w:szCs w:val="20"/>
        </w:rPr>
      </w:pPr>
    </w:p>
    <w:p w14:paraId="36C69E4D" w14:textId="77777777" w:rsidR="005C48D9" w:rsidRPr="005C48D9" w:rsidRDefault="00597918" w:rsidP="005C48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D88181">
          <v:rect id="_x0000_i1026" style="width:468pt;height:2.25pt" o:hralign="center" o:hrstd="t" o:hrnoshade="t" o:hr="t" fillcolor="#999" stroked="f"/>
        </w:pict>
      </w:r>
    </w:p>
    <w:p w14:paraId="41A4CB94" w14:textId="77777777" w:rsidR="005C48D9" w:rsidRDefault="005C48D9" w:rsidP="005C48D9">
      <w:pPr>
        <w:spacing w:after="0" w:line="240" w:lineRule="auto"/>
        <w:rPr>
          <w:rFonts w:ascii="Times New Roman" w:eastAsia="Times New Roman" w:hAnsi="Times New Roman" w:cs="Times New Roman"/>
          <w:sz w:val="20"/>
          <w:szCs w:val="20"/>
        </w:rPr>
      </w:pPr>
    </w:p>
    <w:p w14:paraId="7CB3D1D4" w14:textId="6A22CA0D"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9. (Share Handling Regulations)</w:t>
      </w:r>
    </w:p>
    <w:p w14:paraId="19859FDD"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procedures for and fees for the entry or recording into the register of shareholders and the register of stock acquisition rights, purchasing shares constituting less than one unit (tangen) and any other matters relating to the handling of shares and stock acquisition rights shall be subject to the Share Handling Regulations established by the Board of Directors.</w:t>
      </w:r>
    </w:p>
    <w:p w14:paraId="36529FDA"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10. (Record Date)</w:t>
      </w:r>
    </w:p>
    <w:p w14:paraId="1ACB3B60"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Corporation shall deem any shareholder entered or recorded in the final register of shareholders as of March 31 in such year to be a shareholder entitled to exercise its rights at the ordinary general meeting of shareholders for that business year.</w:t>
      </w:r>
    </w:p>
    <w:p w14:paraId="01B188CD"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In addition to the case provided for in the preceding paragraph, the Corporation may, after giving prior public notice, fix a date as the record date, where it deems it necessary to do so.</w:t>
      </w:r>
    </w:p>
    <w:p w14:paraId="12D9D96C" w14:textId="77777777" w:rsidR="005C48D9" w:rsidRPr="005C48D9" w:rsidRDefault="005C48D9" w:rsidP="005C48D9">
      <w:pPr>
        <w:spacing w:before="36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CHAPTER III. GENERAL MEETINGS OF SHAREHOLDERS</w:t>
      </w:r>
    </w:p>
    <w:p w14:paraId="4A76B983"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11. (Ordinary General Meetings and Extraordinary General Meetings of Shareholders)</w:t>
      </w:r>
    </w:p>
    <w:p w14:paraId="47B7A6B0"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ordinary general meeting of shareholders of the Corporation shall be convened in June of each year. Extraordinary general meetings of shareholders may be called whenever necessary.</w:t>
      </w:r>
    </w:p>
    <w:p w14:paraId="6B828E71"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Each general meeting of shareholders may be convened at the place where the principal office of the Corporation is located, or at a place adjacent thereto, or in Nagoya City.</w:t>
      </w:r>
    </w:p>
    <w:p w14:paraId="0A9F8375"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12. (Resolutions)</w:t>
      </w:r>
    </w:p>
    <w:p w14:paraId="2482E377"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All resolutions of a general meeting of shareholders shall be adopted by a majority of the votes of the shareholders present at the meeting who are entitled to vote, unless otherwise provided by laws and regulations or these Articles of Incorporation of the Corporation.</w:t>
      </w:r>
    </w:p>
    <w:p w14:paraId="4C5D1C67"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Special resolutions as specified by Article 309, Paragraph 2 of the Companies Act shall be adopted by not less than two-thirds (2/3) of the votes of the shareholders present at the meeting who hold shares representing in aggregate not less than one-third (1/3) of the voting rights of all shareholders who are entitled to vote.</w:t>
      </w:r>
    </w:p>
    <w:p w14:paraId="2B1782E5"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13. (Chairman of General Meeting)</w:t>
      </w:r>
    </w:p>
    <w:p w14:paraId="40055F1D"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Chairman of the Board or the President of the Corporation shall preside as chairman at a general meeting of shareholders.</w:t>
      </w:r>
    </w:p>
    <w:p w14:paraId="291E9FCC"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In the event that the positions of both the Chairman of the Board and the President are vacant or that both of them are prevented from so presiding as chairman, another Director of the Corporation shall preside in their place according to the order of precedence previously established by the Board of Directors.</w:t>
      </w:r>
    </w:p>
    <w:p w14:paraId="16E51ACC"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lastRenderedPageBreak/>
        <w:t>Article 14. (Exercise of Voting Rights by Proxy)</w:t>
      </w:r>
    </w:p>
    <w:p w14:paraId="6E41B4BC"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A shareholder may exercise its voting rights by proxy, provided, however, that the proxy shall be a shareholder of the Corporation who is entitled to exercise its own voting rights.</w:t>
      </w:r>
    </w:p>
    <w:p w14:paraId="69BF8C14"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In cases where the preceding paragraph applies, the shareholder or its proxy shall file with the Corporation a document establishing the proxy’s power of representation for each general meeting of shareholders.</w:t>
      </w:r>
    </w:p>
    <w:p w14:paraId="746DB7CD"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3.    The Corporation may refuse a shareholder having two (2) or more proxies attend a general meeting of shareholders.</w:t>
      </w:r>
    </w:p>
    <w:p w14:paraId="303119D3" w14:textId="77777777" w:rsidR="005C48D9" w:rsidRPr="005C48D9" w:rsidRDefault="00597918" w:rsidP="005C48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ED17FE">
          <v:rect id="_x0000_i1027" style="width:468pt;height:2.25pt" o:hralign="center" o:hrstd="t" o:hrnoshade="t" o:hr="t" fillcolor="#999" stroked="f"/>
        </w:pict>
      </w:r>
    </w:p>
    <w:p w14:paraId="66B89249"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15. (Measures for Electronic Provision of Information, etc.)</w:t>
      </w:r>
    </w:p>
    <w:p w14:paraId="51D0E42B"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Upon convening a general meeting of shareholders, the Corporation shall provide information contained in reference documents for the general meeting of shareholders, business reports, financial statements and consolidated financial statements and other documents to shareholders electronically pursuant to laws and regulations.</w:t>
      </w:r>
    </w:p>
    <w:p w14:paraId="55CE23CE"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Among the matters to be provided electronically, the Corporation may choose not to include all or part of the matters stipulated in the Ordinance of the Ministry of Justice in the paper copy to be sent to shareholders who have requested it by the record date for vesting voting rights.</w:t>
      </w:r>
    </w:p>
    <w:p w14:paraId="60407C09" w14:textId="77777777" w:rsidR="005C48D9" w:rsidRPr="005C48D9" w:rsidRDefault="005C48D9" w:rsidP="005C48D9">
      <w:pPr>
        <w:spacing w:before="48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CHAPTER IV. MEMBERS OF THE BOARD OF DIRECTORS AND BOARD OF DIRECTORS</w:t>
      </w:r>
    </w:p>
    <w:p w14:paraId="24E35C2F"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16. (Number of Directors)</w:t>
      </w:r>
    </w:p>
    <w:p w14:paraId="415434AA"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Corporation shall have no more than twenty (20) Directors.</w:t>
      </w:r>
    </w:p>
    <w:p w14:paraId="5675436F"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17. (Election of Directors)</w:t>
      </w:r>
    </w:p>
    <w:p w14:paraId="6BA8E5D1"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Directors shall be elected by a resolution of a general meeting of shareholders.</w:t>
      </w:r>
    </w:p>
    <w:p w14:paraId="498583BA"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A resolution for the election of Directors shall be adopted by a majority vote of the shareholders present at the meeting who hold shares representing in aggregate not less than one-third (1/3) of the voting rights of all the shareholders who are entitled to vote.</w:t>
      </w:r>
    </w:p>
    <w:p w14:paraId="221B59B4"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3.    The election of Directors shall not be made by cumulative voting.</w:t>
      </w:r>
    </w:p>
    <w:p w14:paraId="0E4D0DC9"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18. (Term of Office of Directors)</w:t>
      </w:r>
    </w:p>
    <w:p w14:paraId="3D167EC2"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term of office of Directors shall expire at the closing of the ordinary general meeting of shareholders to be held for the last business year of the Corporation ending within one (1) year after their election.</w:t>
      </w:r>
    </w:p>
    <w:p w14:paraId="2309AECC"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The term of office of any Director elected in order to increase the number of Directors or to fill a vacancy shall be the balance of the term of office of the other Directors who hold office at the time of his/ her election.</w:t>
      </w:r>
    </w:p>
    <w:p w14:paraId="4583852D"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19. (Board of Directors)</w:t>
      </w:r>
    </w:p>
    <w:p w14:paraId="6198EA9C"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Corporation shall have a Board of Directors.</w:t>
      </w:r>
    </w:p>
    <w:p w14:paraId="426D45A7"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Notice of a meeting of the Board of Directors shall be dispatched to each Director and each Audit &amp; Supervisory Board Member at least three (3) days before the date of the meeting. In case of urgency, however, such period may be shortened.</w:t>
      </w:r>
    </w:p>
    <w:p w14:paraId="7515EF7B"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lastRenderedPageBreak/>
        <w:t>3.    With respect to matters to be resolved by the Board of Directors, the Corporation shall deem that such matters were approved by a resolution of the Board of Directors when all the Directors express their agreement in writing or by electronic records. Provided, however, that this provision shall not apply when any Audit &amp; Supervisory Board Member expresses his/her objection to such matters.</w:t>
      </w:r>
    </w:p>
    <w:p w14:paraId="65913D63" w14:textId="278B9401" w:rsid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4.    In addition to the preceding two (2) paragraphs, the management of the Board of Directors shall be subject to the Regulations of the Board of Directors established by the Board of Directors.</w:t>
      </w:r>
    </w:p>
    <w:p w14:paraId="30B9B7B1" w14:textId="5FC8C629" w:rsidR="005C48D9" w:rsidRDefault="005C48D9" w:rsidP="005C48D9">
      <w:pPr>
        <w:spacing w:before="240" w:after="0" w:line="240" w:lineRule="auto"/>
        <w:ind w:firstLine="490"/>
        <w:rPr>
          <w:rFonts w:ascii="Times New Roman" w:eastAsia="Times New Roman" w:hAnsi="Times New Roman" w:cs="Times New Roman"/>
          <w:sz w:val="20"/>
          <w:szCs w:val="20"/>
        </w:rPr>
      </w:pPr>
    </w:p>
    <w:p w14:paraId="3466E9F6"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p>
    <w:p w14:paraId="0FECFAF9" w14:textId="77777777" w:rsidR="005C48D9" w:rsidRPr="005C48D9" w:rsidRDefault="00597918" w:rsidP="005C48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63BE34DA">
          <v:rect id="_x0000_i1028" style="width:468pt;height:2.25pt" o:hralign="center" o:hrstd="t" o:hrnoshade="t" o:hr="t" fillcolor="#999" stroked="f"/>
        </w:pict>
      </w:r>
    </w:p>
    <w:p w14:paraId="1164ED8A" w14:textId="729A381E"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20. (Representative Directors and Executive Directors)</w:t>
      </w:r>
    </w:p>
    <w:p w14:paraId="67F97AC2"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Board of Directors shall designate one or more Representative Directors by its resolution.</w:t>
      </w:r>
    </w:p>
    <w:p w14:paraId="68E74415"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The Board of Directors may appoint one Chairman of the Board, one President and one or more Vice Chairmen of the Board and Executive Vice Presidents by its resolution.</w:t>
      </w:r>
    </w:p>
    <w:p w14:paraId="0B2BD125"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21. (Honorary Chairmen and Senior Advisors)</w:t>
      </w:r>
    </w:p>
    <w:p w14:paraId="2B03210E"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Board of Directors may appoint Honorary Chairmen and Senior Advisors by its resolution.</w:t>
      </w:r>
    </w:p>
    <w:p w14:paraId="3217DACC"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22. (Exemption from Liability of Directors)</w:t>
      </w:r>
    </w:p>
    <w:p w14:paraId="58318D3D"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In accordance with the provisions of Article 426, Paragraph 1 of the Companies Act, the Corporation may, by a resolution of the Board of Directors, exempt Directors (including former Directors) from liabilities provided for in Article 423, Paragraph 1 of the Companies Act within the limits stipulated by laws and regulations.</w:t>
      </w:r>
    </w:p>
    <w:p w14:paraId="000441CB"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23. (Limited Liability Agreement with members of the Board of Directors)</w:t>
      </w:r>
    </w:p>
    <w:p w14:paraId="3E5CBA0D"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In accordance with the provisions of Article 427, Paragraph 1 of the Companies Act, the Corporation may enter into an agreement with Members of the Board of Directors (excluding Executive Members of the Board of Directors, etc.) limiting liabilities provided for in Article 423, Paragraph 1 of the Companies Act; provided, however, that the limit of the liability under the agreement shall be the minimum amount of liability stipulated by laws and regulations.</w:t>
      </w:r>
    </w:p>
    <w:p w14:paraId="065A4C22" w14:textId="77777777" w:rsidR="005C48D9" w:rsidRPr="005C48D9" w:rsidRDefault="005C48D9" w:rsidP="005C48D9">
      <w:pPr>
        <w:spacing w:before="24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CHAPTER V. AUDIT &amp; SUPERVISORY BOARD MEMBERS AND AUDIT &amp; SUPERVISORY BOARD</w:t>
      </w:r>
    </w:p>
    <w:p w14:paraId="512779A9"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24. (Establishment of Audit &amp; Supervisory Board Members and Number of Audit &amp; Supervisory Board Members)</w:t>
      </w:r>
    </w:p>
    <w:p w14:paraId="727322E8"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Corporation shall have no more than seven (7) Audit &amp; Supervisory Board Members.</w:t>
      </w:r>
    </w:p>
    <w:p w14:paraId="460F084E"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25. (Election of Audit &amp; Supervisory Board Members)</w:t>
      </w:r>
    </w:p>
    <w:p w14:paraId="49BE7313"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Audit &amp; Supervisory Board Members shall be elected by a resolution of a general meeting of shareholders.</w:t>
      </w:r>
    </w:p>
    <w:p w14:paraId="2A517878"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A resolution for the election of Audit &amp; Supervisory Board Members shall be adopted by a majority vote of the shareholders present at the meeting who hold shares representing in aggregate not less than one-third (1/3) of the voting rights of all the shareholders who are entitled to vote.</w:t>
      </w:r>
    </w:p>
    <w:p w14:paraId="128761E6"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26. (Term of Office of Audit &amp; Supervisory Board Members)</w:t>
      </w:r>
    </w:p>
    <w:p w14:paraId="6EC360E9"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lastRenderedPageBreak/>
        <w:t>1.    The term of office of Audit &amp; Supervisory Board Members shall expire at the closing of the ordinary general meeting of shareholders to be held for the last business year of the Corporation ending within four (4) years after their election.</w:t>
      </w:r>
    </w:p>
    <w:p w14:paraId="5869B8DD"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The term of office of any Audit &amp; Supervisory Board Member elected to fill a vacancy shall be the balance of the term of office of the Audit &amp; Supervisory Board Member whom he/she succeeds.</w:t>
      </w:r>
    </w:p>
    <w:p w14:paraId="6AE5D79D"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27. (Audit &amp; Supervisory Board)</w:t>
      </w:r>
    </w:p>
    <w:p w14:paraId="0E8DA05E"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The Corporation shall have an Audit &amp; Supervisory Board.</w:t>
      </w:r>
    </w:p>
    <w:p w14:paraId="6A4DF336"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2.    Notice of a meeting of the Audit &amp; Supervisory Board shall be dispatched to each Audit &amp; Supervisory Board Members at least three (3) days before the date of the meeting. In case of urgency, however, such period may be shortened.</w:t>
      </w:r>
    </w:p>
    <w:p w14:paraId="4B78603E" w14:textId="77777777" w:rsidR="005C48D9" w:rsidRPr="005C48D9" w:rsidRDefault="00597918" w:rsidP="005C48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2FE7746">
          <v:rect id="_x0000_i1029" style="width:468pt;height:2.25pt" o:hralign="center" o:hrstd="t" o:hrnoshade="t" o:hr="t" fillcolor="#999" stroked="f"/>
        </w:pict>
      </w:r>
    </w:p>
    <w:p w14:paraId="64110D80" w14:textId="77777777" w:rsidR="005C48D9" w:rsidRPr="005C48D9" w:rsidRDefault="005C48D9" w:rsidP="005C48D9">
      <w:pPr>
        <w:spacing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3.    In addition to the provisions of the preceding paragraph, the management of the Audit &amp; Supervisory Board shall be subject to the Regulations of the Audit &amp; Supervisory Board established by the Audit &amp; Supervisory Board.</w:t>
      </w:r>
    </w:p>
    <w:p w14:paraId="7D3FE5AD"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28. (Full-time Audit &amp; Supervisory Board Member)</w:t>
      </w:r>
    </w:p>
    <w:p w14:paraId="175B198F"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Audit &amp; Supervisory Board shall, by its resolution, select one or more full-time Audit &amp; Supervisory Board Members.</w:t>
      </w:r>
    </w:p>
    <w:p w14:paraId="1CF0323B"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29. (Exemption from Liability of Audit &amp; Supervisory Board Members)</w:t>
      </w:r>
    </w:p>
    <w:p w14:paraId="45C3CC83"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In accordance with the provisions of Article 426, Paragraph 1 of the Companies Act, the Corporation may, by a resolution of the Board of Directors, exempt Audit &amp; Supervisory Board Members (including former Audit &amp; Supervisory Board Members) from liabilities provided for in Article 423, Paragraph 1 of the Companies Act within the limits stipulated by laws and regulations.</w:t>
      </w:r>
    </w:p>
    <w:p w14:paraId="03899795"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30. (Limited Liability Agreement with Audit &amp; Supervisory Board Members)</w:t>
      </w:r>
    </w:p>
    <w:p w14:paraId="5088E860"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In accordance with the provisions of Article 427, Paragraph 1 of the Companies Act, the Corporation may enter into an agreement with Audit &amp; Supervisory Board Members limiting liabilities provided for in Article 423, Paragraph 1 of the Companies Act; provided, however, that the limit of the liability under the agreement shall be the minimum amount of liability stipulated by laws and regulations.</w:t>
      </w:r>
    </w:p>
    <w:p w14:paraId="2F477C06" w14:textId="77777777" w:rsidR="005C48D9" w:rsidRPr="005C48D9" w:rsidRDefault="005C48D9" w:rsidP="005C48D9">
      <w:pPr>
        <w:spacing w:before="36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CHAPTER VI. ACCOUNTING AUDITOR</w:t>
      </w:r>
    </w:p>
    <w:p w14:paraId="646DC127"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31. (Accounting Auditor)</w:t>
      </w:r>
    </w:p>
    <w:p w14:paraId="6197E03D"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Corporation shall have an Accounting Auditor (</w:t>
      </w:r>
      <w:r w:rsidRPr="005C48D9">
        <w:rPr>
          <w:rFonts w:ascii="Times New Roman" w:eastAsia="Times New Roman" w:hAnsi="Times New Roman" w:cs="Times New Roman"/>
          <w:i/>
          <w:iCs/>
          <w:sz w:val="20"/>
          <w:szCs w:val="20"/>
        </w:rPr>
        <w:t>kaikeikansa-nin</w:t>
      </w:r>
      <w:r w:rsidRPr="005C48D9">
        <w:rPr>
          <w:rFonts w:ascii="Times New Roman" w:eastAsia="Times New Roman" w:hAnsi="Times New Roman" w:cs="Times New Roman"/>
          <w:sz w:val="20"/>
          <w:szCs w:val="20"/>
        </w:rPr>
        <w:t>).</w:t>
      </w:r>
    </w:p>
    <w:p w14:paraId="1A8273A8" w14:textId="77777777" w:rsidR="005C48D9" w:rsidRPr="005C48D9" w:rsidRDefault="005C48D9" w:rsidP="005C48D9">
      <w:pPr>
        <w:spacing w:before="360" w:after="0" w:line="240" w:lineRule="auto"/>
        <w:jc w:val="center"/>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CHAPTER VII. ACCOUNTS</w:t>
      </w:r>
    </w:p>
    <w:p w14:paraId="199BB24D" w14:textId="77777777" w:rsidR="005C48D9" w:rsidRPr="005C48D9" w:rsidRDefault="005C48D9" w:rsidP="005C48D9">
      <w:pPr>
        <w:spacing w:before="24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32. (Business Year)</w:t>
      </w:r>
    </w:p>
    <w:p w14:paraId="0513E548"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The business year of the Corporation shall be one (1) year from April 1 of each year until March 31 of the following year.</w:t>
      </w:r>
    </w:p>
    <w:p w14:paraId="674F9C33"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33. (Dividends from Surplus, etc.)</w:t>
      </w:r>
    </w:p>
    <w:p w14:paraId="74282E56"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1.    Dividends from Surplus of the Corporation shall be paid to the shareholders or registered share pledgees entered or recorded in the final register of shareholders as of March 31 of each year.</w:t>
      </w:r>
    </w:p>
    <w:p w14:paraId="448682F7"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lastRenderedPageBreak/>
        <w:t>2.    The Corporation may, by a resolution of the Board of Directors, distribute dividends from surplus as provided for in Article 454, Paragraph 5 of the Companies Act to the shareholders or registered share pledgees entered or recorded in the final register of shareholders as of September 30 of each year.</w:t>
      </w:r>
    </w:p>
    <w:p w14:paraId="775B22F5"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3.    In addition to the preceding two (2) paragraphs, the Corporation may, by a resolution of the Board of Directors, decide on matters provided for in each Item of Article 459, Paragraph 1 of the Companies Act.</w:t>
      </w:r>
    </w:p>
    <w:p w14:paraId="7E58FA0D"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4.    No interest shall be paid on unpaid dividends from surplus.</w:t>
      </w:r>
    </w:p>
    <w:p w14:paraId="367DB80A" w14:textId="77777777" w:rsidR="005C48D9" w:rsidRPr="005C48D9" w:rsidRDefault="005C48D9" w:rsidP="005C48D9">
      <w:pPr>
        <w:spacing w:before="360"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34. (Dispensation from Payment of Dividends from Surplus, etc.)</w:t>
      </w:r>
    </w:p>
    <w:p w14:paraId="100A2017"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In the case where the dividends from surplus are paid by cash, the Corporation shall not be obliged to pay any dividends from surplus after three (3) years have expired from the date of tender thereof.</w:t>
      </w:r>
    </w:p>
    <w:p w14:paraId="6F7DDEA1" w14:textId="77777777" w:rsidR="005C48D9" w:rsidRPr="005C48D9" w:rsidRDefault="00597918" w:rsidP="005C48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732775F">
          <v:rect id="_x0000_i1030" style="width:468pt;height:2.25pt" o:hralign="center" o:hrstd="t" o:hrnoshade="t" o:hr="t" fillcolor="#999" stroked="f"/>
        </w:pict>
      </w:r>
    </w:p>
    <w:p w14:paraId="4AD2C33E" w14:textId="77777777" w:rsidR="005C48D9" w:rsidRPr="005C48D9" w:rsidRDefault="005C48D9" w:rsidP="005C48D9">
      <w:pPr>
        <w:spacing w:after="0" w:line="240" w:lineRule="auto"/>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(Supplementary Provisions)</w:t>
      </w:r>
    </w:p>
    <w:p w14:paraId="12990C00" w14:textId="77777777" w:rsidR="005C48D9" w:rsidRPr="005C48D9" w:rsidRDefault="005C48D9" w:rsidP="005C48D9">
      <w:pPr>
        <w:spacing w:before="12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1. The deletion of the Article 15. (Deemed Delivery of Reference Documents, etc. for General Meeting of Shareholders) of the current Articles of Incorporation and the establishment of the proposed Article 15. (Measures for Electronic Provision of Information, etc.) shall come into effect as of September 1, 2022, the date of enforcement of the amended provisions stipulated in the proviso to Article 1 of the supplementary provisions of the Act Partially Amending the Companies Act (Act No. 70 of 2019) (the “Effective Date”).</w:t>
      </w:r>
    </w:p>
    <w:p w14:paraId="146E13C0"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2. Notwithstanding the provisions of the preceding paragraph, Article 15. of the Articles of Incorporation before the amendment shall remain in force with respect to a general meeting of shareholders to be held on a date within six months from the Effective Date.</w:t>
      </w:r>
    </w:p>
    <w:p w14:paraId="5DF8659E" w14:textId="77777777" w:rsidR="005C48D9" w:rsidRPr="005C48D9" w:rsidRDefault="005C48D9" w:rsidP="005C48D9">
      <w:pPr>
        <w:spacing w:before="240" w:after="0" w:line="240" w:lineRule="auto"/>
        <w:ind w:firstLine="490"/>
        <w:rPr>
          <w:rFonts w:ascii="Times New Roman" w:eastAsia="Times New Roman" w:hAnsi="Times New Roman" w:cs="Times New Roman"/>
          <w:sz w:val="20"/>
          <w:szCs w:val="20"/>
        </w:rPr>
      </w:pPr>
      <w:r w:rsidRPr="005C48D9">
        <w:rPr>
          <w:rFonts w:ascii="Times New Roman" w:eastAsia="Times New Roman" w:hAnsi="Times New Roman" w:cs="Times New Roman"/>
          <w:sz w:val="20"/>
          <w:szCs w:val="20"/>
        </w:rPr>
        <w:t>Article 3. These supplementary provisions shall be deleted after the lapse of six months from the Effective Date or three months after the General Meeting of Shareholders mentioned in the preceding paragraph, whichever is later.</w:t>
      </w:r>
    </w:p>
    <w:p w14:paraId="7B22DDFB" w14:textId="77777777" w:rsidR="006331A8" w:rsidRDefault="006331A8"/>
    <w:sectPr w:rsidR="006331A8" w:rsidSect="005C48D9">
      <w:footerReference w:type="even" r:id="rId6"/>
      <w:footerReference w:type="first" r:id="rId7"/>
      <w:pgSz w:w="12240" w:h="15840" w:code="3276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F594" w14:textId="77777777" w:rsidR="005C48D9" w:rsidRDefault="005C48D9" w:rsidP="005C48D9">
      <w:pPr>
        <w:spacing w:after="0" w:line="240" w:lineRule="auto"/>
      </w:pPr>
      <w:r>
        <w:separator/>
      </w:r>
    </w:p>
  </w:endnote>
  <w:endnote w:type="continuationSeparator" w:id="0">
    <w:p w14:paraId="27D48858" w14:textId="77777777" w:rsidR="005C48D9" w:rsidRDefault="005C48D9" w:rsidP="005C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9B11" w14:textId="77777777" w:rsidR="005C48D9" w:rsidRDefault="005C48D9">
    <w:pPr>
      <w:pStyle w:val="Footer"/>
    </w:pPr>
    <w:r>
      <w:rPr>
        <w:noProof/>
      </w:rPr>
      <mc:AlternateContent>
        <mc:Choice Requires="wps">
          <w:drawing>
            <wp:anchor distT="0" distB="0" distL="0" distR="0" simplePos="0" relativeHeight="251659264" behindDoc="0" locked="0" layoutInCell="1" allowOverlap="1" wp14:anchorId="181DCD3C" wp14:editId="4A574373">
              <wp:simplePos x="635" y="635"/>
              <wp:positionH relativeFrom="column">
                <wp:align>center</wp:align>
              </wp:positionH>
              <wp:positionV relativeFrom="paragraph">
                <wp:posOffset>635</wp:posOffset>
              </wp:positionV>
              <wp:extent cx="443865" cy="443865"/>
              <wp:effectExtent l="0" t="0" r="13970" b="6350"/>
              <wp:wrapSquare wrapText="bothSides"/>
              <wp:docPr id="2" name="Text Box 2"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53550" w14:textId="77777777" w:rsidR="005C48D9" w:rsidRPr="005C48D9" w:rsidRDefault="005C48D9">
                          <w:pPr>
                            <w:rPr>
                              <w:rFonts w:ascii="MS UI Gothic" w:eastAsia="MS UI Gothic" w:hAnsi="MS UI Gothic" w:cs="MS UI Gothic"/>
                              <w:noProof/>
                              <w:color w:val="000000"/>
                              <w:sz w:val="20"/>
                              <w:szCs w:val="20"/>
                            </w:rPr>
                          </w:pPr>
                          <w:r w:rsidRPr="005C48D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1DCD3C" id="_x0000_t202" coordsize="21600,21600" o:spt="202" path="m,l,21600r21600,l21600,xe">
              <v:stroke joinstyle="miter"/>
              <v:path gradientshapeok="t" o:connecttype="rect"/>
            </v:shapetype>
            <v:shape id="Text Box 2" o:spid="_x0000_s1026" type="#_x0000_t202" alt="•• PROTECTED 関係者外秘"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6B53550" w14:textId="77777777" w:rsidR="005C48D9" w:rsidRPr="005C48D9" w:rsidRDefault="005C48D9">
                    <w:pPr>
                      <w:rPr>
                        <w:rFonts w:ascii="MS UI Gothic" w:eastAsia="MS UI Gothic" w:hAnsi="MS UI Gothic" w:cs="MS UI Gothic"/>
                        <w:noProof/>
                        <w:color w:val="000000"/>
                        <w:sz w:val="20"/>
                        <w:szCs w:val="20"/>
                      </w:rPr>
                    </w:pPr>
                    <w:r w:rsidRPr="005C48D9">
                      <w:rPr>
                        <w:rFonts w:ascii="MS UI Gothic" w:eastAsia="MS UI Gothic" w:hAnsi="MS UI Gothic" w:cs="MS UI Gothic"/>
                        <w:noProof/>
                        <w:color w:val="000000"/>
                        <w:sz w:val="20"/>
                        <w:szCs w:val="20"/>
                      </w:rPr>
                      <w:t>•• PROTECTED 関係者外秘</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3157" w14:textId="77777777" w:rsidR="005C48D9" w:rsidRDefault="005C48D9">
    <w:pPr>
      <w:pStyle w:val="Footer"/>
    </w:pPr>
    <w:r>
      <w:rPr>
        <w:noProof/>
      </w:rPr>
      <mc:AlternateContent>
        <mc:Choice Requires="wps">
          <w:drawing>
            <wp:anchor distT="0" distB="0" distL="0" distR="0" simplePos="0" relativeHeight="251658240" behindDoc="0" locked="0" layoutInCell="1" allowOverlap="1" wp14:anchorId="56C30319" wp14:editId="125AA7D5">
              <wp:simplePos x="635" y="635"/>
              <wp:positionH relativeFrom="column">
                <wp:align>center</wp:align>
              </wp:positionH>
              <wp:positionV relativeFrom="paragraph">
                <wp:posOffset>635</wp:posOffset>
              </wp:positionV>
              <wp:extent cx="443865" cy="443865"/>
              <wp:effectExtent l="0" t="0" r="13970" b="6350"/>
              <wp:wrapSquare wrapText="bothSides"/>
              <wp:docPr id="1" name="Text Box 1"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55060" w14:textId="77777777" w:rsidR="005C48D9" w:rsidRPr="005C48D9" w:rsidRDefault="005C48D9">
                          <w:pPr>
                            <w:rPr>
                              <w:rFonts w:ascii="MS UI Gothic" w:eastAsia="MS UI Gothic" w:hAnsi="MS UI Gothic" w:cs="MS UI Gothic"/>
                              <w:noProof/>
                              <w:color w:val="000000"/>
                              <w:sz w:val="20"/>
                              <w:szCs w:val="20"/>
                            </w:rPr>
                          </w:pPr>
                          <w:r w:rsidRPr="005C48D9">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C30319" id="_x0000_t202" coordsize="21600,21600" o:spt="202" path="m,l,21600r21600,l21600,xe">
              <v:stroke joinstyle="miter"/>
              <v:path gradientshapeok="t" o:connecttype="rect"/>
            </v:shapetype>
            <v:shape id="Text Box 1" o:spid="_x0000_s1027" type="#_x0000_t202" alt="•• PROTECTED 関係者外秘"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3AE55060" w14:textId="77777777" w:rsidR="005C48D9" w:rsidRPr="005C48D9" w:rsidRDefault="005C48D9">
                    <w:pPr>
                      <w:rPr>
                        <w:rFonts w:ascii="MS UI Gothic" w:eastAsia="MS UI Gothic" w:hAnsi="MS UI Gothic" w:cs="MS UI Gothic"/>
                        <w:noProof/>
                        <w:color w:val="000000"/>
                        <w:sz w:val="20"/>
                        <w:szCs w:val="20"/>
                      </w:rPr>
                    </w:pPr>
                    <w:r w:rsidRPr="005C48D9">
                      <w:rPr>
                        <w:rFonts w:ascii="MS UI Gothic" w:eastAsia="MS UI Gothic" w:hAnsi="MS UI Gothic" w:cs="MS UI Gothic"/>
                        <w:noProof/>
                        <w:color w:val="000000"/>
                        <w:sz w:val="20"/>
                        <w:szCs w:val="20"/>
                      </w:rPr>
                      <w:t>•• PROTECTED 関係者外秘</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780A" w14:textId="77777777" w:rsidR="005C48D9" w:rsidRDefault="005C48D9" w:rsidP="005C48D9">
      <w:pPr>
        <w:spacing w:after="0" w:line="240" w:lineRule="auto"/>
      </w:pPr>
      <w:r>
        <w:separator/>
      </w:r>
    </w:p>
  </w:footnote>
  <w:footnote w:type="continuationSeparator" w:id="0">
    <w:p w14:paraId="2702D9C7" w14:textId="77777777" w:rsidR="005C48D9" w:rsidRDefault="005C48D9" w:rsidP="005C4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D9"/>
    <w:rsid w:val="00284FB5"/>
    <w:rsid w:val="00597918"/>
    <w:rsid w:val="005C48D9"/>
    <w:rsid w:val="005F1F63"/>
    <w:rsid w:val="006331A8"/>
    <w:rsid w:val="007D0FE7"/>
    <w:rsid w:val="00952C80"/>
    <w:rsid w:val="009B2041"/>
    <w:rsid w:val="00C02F40"/>
    <w:rsid w:val="00DB66D6"/>
    <w:rsid w:val="00E6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417A3"/>
  <w15:chartTrackingRefBased/>
  <w15:docId w15:val="{05F32696-3A01-4736-973D-378A6665F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8D9"/>
  </w:style>
  <w:style w:type="paragraph" w:styleId="Footer">
    <w:name w:val="footer"/>
    <w:basedOn w:val="Normal"/>
    <w:link w:val="FooterChar"/>
    <w:uiPriority w:val="99"/>
    <w:unhideWhenUsed/>
    <w:rsid w:val="005C4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8D9"/>
  </w:style>
  <w:style w:type="paragraph" w:styleId="NormalWeb">
    <w:name w:val="Normal (Web)"/>
    <w:basedOn w:val="Normal"/>
    <w:uiPriority w:val="99"/>
    <w:semiHidden/>
    <w:unhideWhenUsed/>
    <w:rsid w:val="005C48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52C80"/>
    <w:pPr>
      <w:widowControl w:val="0"/>
      <w:autoSpaceDE w:val="0"/>
      <w:autoSpaceDN w:val="0"/>
      <w:spacing w:before="20" w:after="0" w:line="240" w:lineRule="auto"/>
      <w:ind w:left="20"/>
    </w:pPr>
    <w:rPr>
      <w:rFonts w:ascii="Century" w:eastAsia="Century" w:hAnsi="Century" w:cs="Century"/>
      <w:sz w:val="24"/>
      <w:szCs w:val="24"/>
      <w:lang w:val="ja-JP" w:eastAsia="ja-JP" w:bidi="ja-JP"/>
    </w:rPr>
  </w:style>
  <w:style w:type="character" w:customStyle="1" w:styleId="BodyTextChar">
    <w:name w:val="Body Text Char"/>
    <w:basedOn w:val="DefaultParagraphFont"/>
    <w:link w:val="BodyText"/>
    <w:uiPriority w:val="1"/>
    <w:rsid w:val="00952C80"/>
    <w:rPr>
      <w:rFonts w:ascii="Century" w:eastAsia="Century" w:hAnsi="Century" w:cs="Century"/>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2684</Words>
  <Characters>15305</Characters>
  <Application>Microsoft Office Word</Application>
  <DocSecurity>0</DocSecurity>
  <Lines>127</Lines>
  <Paragraphs>35</Paragraphs>
  <ScaleCrop>false</ScaleCrop>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Garvin</dc:creator>
  <cp:keywords/>
  <dc:description/>
  <cp:lastModifiedBy>Dawn Garvin</cp:lastModifiedBy>
  <cp:revision>10</cp:revision>
  <cp:lastPrinted>2022-09-16T14:35:00Z</cp:lastPrinted>
  <dcterms:created xsi:type="dcterms:W3CDTF">2022-09-15T12:56:00Z</dcterms:created>
  <dcterms:modified xsi:type="dcterms:W3CDTF">2022-09-16T14:36:00Z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#000000,10,MS UI Gothic</vt:lpwstr>
  </property>
  <property fmtid="{D5CDD505-2E9C-101B-9397-08002B2CF9AE}" pid="4" name="ClassificationContentMarkingFooterText">
    <vt:lpwstr>•• PROTECTED 関係者外秘</vt:lpwstr>
  </property>
  <property fmtid="{D5CDD505-2E9C-101B-9397-08002B2CF9AE}" pid="5" name="MSIP_Label_a652e5e4-5b63-4e83-a876-9e13e9e73d82_Enabled">
    <vt:lpwstr>true</vt:lpwstr>
  </property>
  <property fmtid="{D5CDD505-2E9C-101B-9397-08002B2CF9AE}" pid="6" name="MSIP_Label_a652e5e4-5b63-4e83-a876-9e13e9e73d82_SetDate">
    <vt:lpwstr>2022-09-15T12:44:10Z</vt:lpwstr>
  </property>
  <property fmtid="{D5CDD505-2E9C-101B-9397-08002B2CF9AE}" pid="7" name="MSIP_Label_a652e5e4-5b63-4e83-a876-9e13e9e73d82_Method">
    <vt:lpwstr>Standard</vt:lpwstr>
  </property>
  <property fmtid="{D5CDD505-2E9C-101B-9397-08002B2CF9AE}" pid="8" name="MSIP_Label_a652e5e4-5b63-4e83-a876-9e13e9e73d82_Name">
    <vt:lpwstr>MFS - Protected 関係者外秘</vt:lpwstr>
  </property>
  <property fmtid="{D5CDD505-2E9C-101B-9397-08002B2CF9AE}" pid="9" name="MSIP_Label_a652e5e4-5b63-4e83-a876-9e13e9e73d82_SiteId">
    <vt:lpwstr>8c642d1d-d709-47b0-ab10-080af10798fb</vt:lpwstr>
  </property>
  <property fmtid="{D5CDD505-2E9C-101B-9397-08002B2CF9AE}" pid="10" name="MSIP_Label_a652e5e4-5b63-4e83-a876-9e13e9e73d82_ActionId">
    <vt:lpwstr>4d82fa22-7b27-43b1-8bbd-f627124a4565</vt:lpwstr>
  </property>
  <property fmtid="{D5CDD505-2E9C-101B-9397-08002B2CF9AE}" pid="11" name="MSIP_Label_a652e5e4-5b63-4e83-a876-9e13e9e73d82_ContentBits">
    <vt:lpwstr>2</vt:lpwstr>
  </property>
</Properties>
</file>